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A56F92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A167F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1F46A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p w14:paraId="68B28C49" w14:textId="07D1D56B" w:rsidR="009238A3" w:rsidRPr="00E1605E" w:rsidRDefault="00DE0CC5" w:rsidP="00BB4222">
      <w:pPr>
        <w:pStyle w:val="Heading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t>VŠEOBECNE</w:t>
      </w:r>
      <w:bookmarkEnd w:id="9"/>
    </w:p>
    <w:p w14:paraId="4421F3D4" w14:textId="108DC950" w:rsidR="00653A84" w:rsidRPr="00537C87" w:rsidRDefault="00653A84" w:rsidP="009554BA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 xml:space="preserve">Ceny a sadzby uvedené v Zmluve sú v rámci Lehoty výstavby pevné. Úpravy v dôsledku zmien Nákladov podľa </w:t>
      </w:r>
      <w:proofErr w:type="spellStart"/>
      <w:r w:rsidR="00653A84"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="00653A84" w:rsidRPr="00537C87">
        <w:rPr>
          <w:rFonts w:ascii="Arial Narrow" w:hAnsi="Arial Narrow"/>
          <w:sz w:val="21"/>
          <w:szCs w:val="21"/>
        </w:rPr>
        <w:t xml:space="preserve">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Heading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Heading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Heading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Heading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Pr="00DE0CC5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Heading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Heading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Heading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 xml:space="preserve">Takto vykalkulované ocenenie prác bude odsúhlasené podľa článku 13 Zmeny a úpravy alebo </w:t>
      </w:r>
      <w:proofErr w:type="spellStart"/>
      <w:r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</w:t>
      </w:r>
      <w:proofErr w:type="spellStart"/>
      <w:r w:rsidR="001A49FC" w:rsidRPr="00537C87">
        <w:rPr>
          <w:rFonts w:ascii="Arial Narrow" w:hAnsi="Arial Narrow"/>
          <w:sz w:val="21"/>
          <w:szCs w:val="21"/>
        </w:rPr>
        <w:t>podčlánku</w:t>
      </w:r>
      <w:proofErr w:type="spellEnd"/>
      <w:r w:rsidR="001A49FC" w:rsidRPr="00537C87">
        <w:rPr>
          <w:rFonts w:ascii="Arial Narrow" w:hAnsi="Arial Narrow"/>
          <w:sz w:val="21"/>
          <w:szCs w:val="21"/>
        </w:rPr>
        <w:t xml:space="preserve">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BodyTextIndent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1E7DFBA3" w:rsidR="005C2425" w:rsidRPr="00537C87" w:rsidRDefault="005C2425" w:rsidP="00C84547">
      <w:pPr>
        <w:pStyle w:val="BodyTextIndent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 xml:space="preserve">ľovi priznané iba oprávnené náklady priamo súvisiace s prácami, ktoré spôsobili toto predĺženie. Tieto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BodyTextIndent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Heading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radiála</w:t>
      </w:r>
      <w:proofErr w:type="spellEnd"/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1B7DE826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BBE4D" w14:textId="77777777" w:rsidR="00112A5E" w:rsidRDefault="00112A5E" w:rsidP="000918AF">
      <w:r>
        <w:separator/>
      </w:r>
    </w:p>
    <w:p w14:paraId="1A2070EF" w14:textId="77777777" w:rsidR="00112A5E" w:rsidRDefault="00112A5E" w:rsidP="000918AF"/>
  </w:endnote>
  <w:endnote w:type="continuationSeparator" w:id="0">
    <w:p w14:paraId="35B77CCD" w14:textId="77777777" w:rsidR="00112A5E" w:rsidRDefault="00112A5E" w:rsidP="000918AF">
      <w:r>
        <w:continuationSeparator/>
      </w:r>
    </w:p>
    <w:p w14:paraId="5B3B8FED" w14:textId="77777777" w:rsidR="00112A5E" w:rsidRDefault="00112A5E" w:rsidP="000918AF"/>
  </w:endnote>
  <w:endnote w:type="continuationNotice" w:id="1">
    <w:p w14:paraId="74657EAD" w14:textId="77777777" w:rsidR="00112A5E" w:rsidRDefault="00112A5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Reference Sans Serif">
    <w:charset w:val="EE"/>
    <w:family w:val="swiss"/>
    <w:pitch w:val="variable"/>
    <w:sig w:usb0="20000287" w:usb1="00000000" w:usb2="00000000" w:usb3="00000000" w:csb0="0000019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6B4A2" w14:textId="77C08F43" w:rsidR="00123D4E" w:rsidRPr="00123D4E" w:rsidRDefault="00123D4E" w:rsidP="00123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4A994" w14:textId="0AE69E84" w:rsidR="00280910" w:rsidRPr="008910C9" w:rsidRDefault="00C96D59" w:rsidP="008910C9">
    <w:pPr>
      <w:pStyle w:val="Footer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815E" w14:textId="0B87DEA2" w:rsidR="00C92761" w:rsidRPr="00C92761" w:rsidRDefault="00C92761" w:rsidP="00C9276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BEF62" w14:textId="43E30193" w:rsidR="00E821DE" w:rsidRPr="00537C87" w:rsidRDefault="00C96D59" w:rsidP="00E821DE">
    <w:pPr>
      <w:pStyle w:val="Footer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81F8A" w14:textId="77777777" w:rsidR="00280910" w:rsidRDefault="00280910" w:rsidP="00091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855DE" w14:textId="77777777" w:rsidR="00112A5E" w:rsidRDefault="00112A5E" w:rsidP="000918AF">
      <w:r>
        <w:separator/>
      </w:r>
    </w:p>
    <w:p w14:paraId="70D2CC16" w14:textId="77777777" w:rsidR="00112A5E" w:rsidRDefault="00112A5E" w:rsidP="000918AF"/>
  </w:footnote>
  <w:footnote w:type="continuationSeparator" w:id="0">
    <w:p w14:paraId="40B1AE06" w14:textId="77777777" w:rsidR="00112A5E" w:rsidRDefault="00112A5E" w:rsidP="000918AF">
      <w:r>
        <w:continuationSeparator/>
      </w:r>
    </w:p>
    <w:p w14:paraId="7B6DF5F1" w14:textId="77777777" w:rsidR="00112A5E" w:rsidRDefault="00112A5E" w:rsidP="000918AF"/>
  </w:footnote>
  <w:footnote w:type="continuationNotice" w:id="1">
    <w:p w14:paraId="2640FDFC" w14:textId="77777777" w:rsidR="00112A5E" w:rsidRDefault="00112A5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23D5A" w14:textId="77777777" w:rsidR="007A4AB0" w:rsidRPr="00407F22" w:rsidRDefault="007A4AB0">
    <w:pPr>
      <w:pStyle w:val="BodyText3"/>
      <w:tabs>
        <w:tab w:val="right" w:pos="9214"/>
      </w:tabs>
      <w:suppressAutoHyphens/>
    </w:pPr>
    <w:r w:rsidRPr="00407F22">
      <w:rPr>
        <w:color w:val="000000"/>
      </w:rPr>
      <w:t xml:space="preserve">Modernizácia električkovej trate - Ružinovská </w:t>
    </w:r>
    <w:proofErr w:type="spellStart"/>
    <w:r w:rsidRPr="00407F22">
      <w:rPr>
        <w:color w:val="000000"/>
      </w:rPr>
      <w:t>radiála</w:t>
    </w:r>
    <w:proofErr w:type="spellEnd"/>
    <w:r w:rsidRPr="00407F22">
      <w:tab/>
      <w:t xml:space="preserve">    Hlavné mesto Slovenskej republiky Bratislava</w:t>
    </w:r>
  </w:p>
  <w:p w14:paraId="6448A2E6" w14:textId="77777777" w:rsidR="007A4AB0" w:rsidRPr="00407F22" w:rsidRDefault="007A4AB0">
    <w:pPr>
      <w:pStyle w:val="Header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1605" w14:textId="34E80739" w:rsidR="00123D4E" w:rsidRPr="007B4381" w:rsidRDefault="00123D4E" w:rsidP="00123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95BF" w14:textId="64F44CA9" w:rsidR="00C96D59" w:rsidRPr="00537C87" w:rsidRDefault="00C96D59" w:rsidP="00C96D59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BF4E9" w14:textId="5D239BC8" w:rsidR="00C96D59" w:rsidRPr="00537C87" w:rsidRDefault="00C96D59" w:rsidP="00C96D59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CA42" w14:textId="77777777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 xml:space="preserve">Modernizácia električkovej trate - Ružinovská </w:t>
    </w:r>
    <w:proofErr w:type="spellStart"/>
    <w:r w:rsidRPr="00B30503">
      <w:rPr>
        <w:rFonts w:ascii="Arial Narrow" w:hAnsi="Arial Narrow" w:cs="Arial"/>
        <w:color w:val="000000"/>
        <w:spacing w:val="6"/>
        <w:sz w:val="16"/>
        <w:szCs w:val="16"/>
      </w:rPr>
      <w:t>radiála</w:t>
    </w:r>
    <w:proofErr w:type="spellEnd"/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D5F9C" w14:textId="77777777" w:rsidR="00544A5C" w:rsidRPr="00407F22" w:rsidRDefault="00544A5C">
    <w:pPr>
      <w:pStyle w:val="BodyText3"/>
      <w:tabs>
        <w:tab w:val="right" w:pos="9214"/>
      </w:tabs>
      <w:suppressAutoHyphens/>
    </w:pPr>
    <w:r w:rsidRPr="00407F22">
      <w:rPr>
        <w:color w:val="000000"/>
      </w:rPr>
      <w:t xml:space="preserve">Modernizácia električkovej trate - Ružinovská </w:t>
    </w:r>
    <w:proofErr w:type="spellStart"/>
    <w:r w:rsidRPr="00407F22">
      <w:rPr>
        <w:color w:val="000000"/>
      </w:rPr>
      <w:t>radiála</w:t>
    </w:r>
    <w:proofErr w:type="spellEnd"/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eader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B6710" w14:textId="77777777" w:rsidR="00544A5C" w:rsidRPr="00992875" w:rsidRDefault="00544A5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8EE2C" w14:textId="0DF68CAD" w:rsidR="005263B2" w:rsidRPr="00537C87" w:rsidRDefault="005263B2" w:rsidP="005263B2">
    <w:pPr>
      <w:pStyle w:val="Body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 xml:space="preserve">Modernizácia električkovej trate - Ružinovská </w:t>
    </w:r>
    <w:proofErr w:type="spellStart"/>
    <w:r w:rsidRPr="00537C87">
      <w:rPr>
        <w:rFonts w:ascii="Arial Narrow" w:hAnsi="Arial Narrow"/>
        <w:color w:val="000000"/>
      </w:rPr>
      <w:t>radiála</w:t>
    </w:r>
    <w:proofErr w:type="spellEnd"/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eader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eader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E99F2" w14:textId="77777777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 xml:space="preserve">Modernizácia električkovej trate - Ružinovská </w:t>
    </w:r>
    <w:proofErr w:type="spellStart"/>
    <w:r w:rsidRPr="007B4381">
      <w:rPr>
        <w:rFonts w:ascii="Arial Narrow" w:hAnsi="Arial Narrow" w:cs="Arial"/>
        <w:color w:val="000000"/>
        <w:spacing w:val="6"/>
        <w:sz w:val="16"/>
        <w:szCs w:val="16"/>
      </w:rPr>
      <w:t>radiála</w:t>
    </w:r>
    <w:proofErr w:type="spellEnd"/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7340" w14:textId="77777777" w:rsidR="00280910" w:rsidRDefault="00280910" w:rsidP="00091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ArticleSection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Heading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Heading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Heading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XBVRFY/AuCJdyTn7wsjHj0K2vz8Moyp7WkXBsiGWLayFiMeoHslaU2xzgvkXB3lwmveEcmJ3U+YUx7VYPj6Qng==" w:salt="xvnLd7BwtC3dbTgiVUzItQ==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E00BF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A0E"/>
    <w:rsid w:val="00777BF7"/>
    <w:rsid w:val="007810E9"/>
    <w:rsid w:val="0078121C"/>
    <w:rsid w:val="00781275"/>
    <w:rsid w:val="00782ED5"/>
    <w:rsid w:val="00784380"/>
    <w:rsid w:val="00784F96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33F"/>
    <w:rsid w:val="00823944"/>
    <w:rsid w:val="00823974"/>
    <w:rsid w:val="00823E04"/>
    <w:rsid w:val="008243A5"/>
    <w:rsid w:val="00824AC5"/>
    <w:rsid w:val="00825112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733"/>
    <w:rsid w:val="00B6327D"/>
    <w:rsid w:val="00B63EFE"/>
    <w:rsid w:val="00B64DA1"/>
    <w:rsid w:val="00B65579"/>
    <w:rsid w:val="00B662EF"/>
    <w:rsid w:val="00B665C5"/>
    <w:rsid w:val="00B66939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89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Heading1">
    <w:name w:val="heading 1"/>
    <w:basedOn w:val="Normal"/>
    <w:next w:val="Normal"/>
    <w:link w:val="Heading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Heading2">
    <w:name w:val="heading 2"/>
    <w:basedOn w:val="Normal"/>
    <w:next w:val="Normal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Heading3">
    <w:name w:val="heading 3"/>
    <w:basedOn w:val="Normal"/>
    <w:next w:val="Normal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Heading4">
    <w:name w:val="heading 4"/>
    <w:basedOn w:val="Normal"/>
    <w:next w:val="Normal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Heading5">
    <w:name w:val="heading 5"/>
    <w:basedOn w:val="Normal"/>
    <w:next w:val="Normal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Heading6">
    <w:name w:val="heading 6"/>
    <w:basedOn w:val="Normal"/>
    <w:next w:val="Normal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pPr>
      <w:numPr>
        <w:ilvl w:val="6"/>
        <w:numId w:val="21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al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TOC2">
    <w:name w:val="toc 2"/>
    <w:basedOn w:val="Normal"/>
    <w:next w:val="Normal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al"/>
    <w:pPr>
      <w:numPr>
        <w:numId w:val="2"/>
      </w:numPr>
      <w:ind w:left="794" w:hanging="227"/>
    </w:pPr>
  </w:style>
  <w:style w:type="paragraph" w:styleId="TOC3">
    <w:name w:val="toc 3"/>
    <w:basedOn w:val="Normal"/>
    <w:next w:val="Normal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al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TableGrid1">
    <w:name w:val="Table Grid 1"/>
    <w:basedOn w:val="TableNormal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930B4D"/>
    <w:rPr>
      <w:sz w:val="20"/>
      <w:szCs w:val="20"/>
      <w:lang w:eastAsia="sk-SK"/>
    </w:rPr>
  </w:style>
  <w:style w:type="character" w:styleId="FootnoteReference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al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Heading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al"/>
    <w:rsid w:val="007A3F8A"/>
    <w:pPr>
      <w:numPr>
        <w:numId w:val="3"/>
      </w:numPr>
      <w:spacing w:before="40"/>
      <w:ind w:left="340" w:hanging="340"/>
    </w:pPr>
  </w:style>
  <w:style w:type="table" w:styleId="TableGrid">
    <w:name w:val="Table Grid"/>
    <w:basedOn w:val="TableNormal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al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al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link">
    <w:name w:val="Hyperlink"/>
    <w:uiPriority w:val="99"/>
    <w:rsid w:val="00905790"/>
    <w:rPr>
      <w:color w:val="0000FF"/>
      <w:u w:val="single"/>
    </w:rPr>
  </w:style>
  <w:style w:type="character" w:styleId="PageNumber">
    <w:name w:val="page number"/>
    <w:basedOn w:val="DefaultParagraphFont"/>
    <w:semiHidden/>
    <w:rsid w:val="00905790"/>
  </w:style>
  <w:style w:type="numbering" w:customStyle="1" w:styleId="tlSodrkami">
    <w:name w:val="Štýl S odrážkami"/>
    <w:basedOn w:val="NoList"/>
    <w:semiHidden/>
    <w:rsid w:val="00905790"/>
    <w:pPr>
      <w:numPr>
        <w:numId w:val="5"/>
      </w:numPr>
    </w:pPr>
  </w:style>
  <w:style w:type="numbering" w:styleId="111111">
    <w:name w:val="Outline List 2"/>
    <w:basedOn w:val="NoList"/>
    <w:semiHidden/>
    <w:rsid w:val="00905790"/>
    <w:pPr>
      <w:numPr>
        <w:numId w:val="11"/>
      </w:numPr>
    </w:pPr>
  </w:style>
  <w:style w:type="numbering" w:styleId="1ai">
    <w:name w:val="Outline List 1"/>
    <w:basedOn w:val="NoList"/>
    <w:semiHidden/>
    <w:rsid w:val="00905790"/>
    <w:pPr>
      <w:numPr>
        <w:numId w:val="12"/>
      </w:numPr>
    </w:pPr>
  </w:style>
  <w:style w:type="paragraph" w:styleId="HTMLAddress">
    <w:name w:val="HTML Address"/>
    <w:basedOn w:val="Normal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EnvelopeAddress">
    <w:name w:val="envelope address"/>
    <w:basedOn w:val="Normal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HTMLCite">
    <w:name w:val="HTML Cite"/>
    <w:semiHidden/>
    <w:rsid w:val="00905790"/>
    <w:rPr>
      <w:i/>
      <w:iCs/>
    </w:rPr>
  </w:style>
  <w:style w:type="character" w:styleId="LineNumber">
    <w:name w:val="line number"/>
    <w:basedOn w:val="DefaultParagraphFont"/>
    <w:semiHidden/>
    <w:rsid w:val="00905790"/>
  </w:style>
  <w:style w:type="paragraph" w:styleId="ListNumber">
    <w:name w:val="List Number"/>
    <w:basedOn w:val="Normal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ListNumber2">
    <w:name w:val="List Number 2"/>
    <w:basedOn w:val="Normal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ListNumber3">
    <w:name w:val="List Number 3"/>
    <w:basedOn w:val="Normal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ListNumber4">
    <w:name w:val="List Number 4"/>
    <w:basedOn w:val="Normal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ListNumber5">
    <w:name w:val="List Number 5"/>
    <w:basedOn w:val="Normal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ArticleSection">
    <w:name w:val="Outline List 3"/>
    <w:basedOn w:val="NoList"/>
    <w:semiHidden/>
    <w:rsid w:val="00905790"/>
    <w:pPr>
      <w:numPr>
        <w:numId w:val="13"/>
      </w:numPr>
    </w:pPr>
  </w:style>
  <w:style w:type="paragraph" w:styleId="Date">
    <w:name w:val="Date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HTMLDefinition">
    <w:name w:val="HTML Definition"/>
    <w:semiHidden/>
    <w:rsid w:val="00905790"/>
    <w:rPr>
      <w:i/>
      <w:iCs/>
    </w:rPr>
  </w:style>
  <w:style w:type="table" w:styleId="TableSubtle1">
    <w:name w:val="Table Subtle 1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MessageHeader">
    <w:name w:val="Message Header"/>
    <w:basedOn w:val="Normal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TableSimple1">
    <w:name w:val="Table Simple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TableContemporary">
    <w:name w:val="Table Contemporary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Title">
    <w:name w:val="Title"/>
    <w:basedOn w:val="Normal"/>
    <w:link w:val="Title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alWeb">
    <w:name w:val="Normal (Web)"/>
    <w:basedOn w:val="Normal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alIndent">
    <w:name w:val="Normal Indent"/>
    <w:basedOn w:val="Normal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PlainText">
    <w:name w:val="Plain Text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Salutation">
    <w:name w:val="Salutation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BlockText">
    <w:name w:val="Block Text"/>
    <w:basedOn w:val="Normal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HTMLTypewriter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Signature">
    <w:name w:val="Signature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E-mailSignature">
    <w:name w:val="E-mail Signature"/>
    <w:basedOn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Subtitle">
    <w:name w:val="Subtitle"/>
    <w:basedOn w:val="Normal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ListContinue">
    <w:name w:val="List Continue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ListContinue2">
    <w:name w:val="List Continue 2"/>
    <w:basedOn w:val="Normal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ListContinue3">
    <w:name w:val="List Continue 3"/>
    <w:basedOn w:val="Normal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ListContinue4">
    <w:name w:val="List Continue 4"/>
    <w:basedOn w:val="Normal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ListContinue5">
    <w:name w:val="List Continue 5"/>
    <w:basedOn w:val="Normal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FollowedHyperlink">
    <w:name w:val="FollowedHyperlink"/>
    <w:semiHidden/>
    <w:rsid w:val="00905790"/>
    <w:rPr>
      <w:color w:val="800080"/>
      <w:u w:val="single"/>
    </w:rPr>
  </w:style>
  <w:style w:type="paragraph" w:styleId="HTMLPreformatted">
    <w:name w:val="HTML Preformatted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HTMLVariable">
    <w:name w:val="HTML Variable"/>
    <w:semiHidden/>
    <w:rsid w:val="00905790"/>
    <w:rPr>
      <w:i/>
      <w:iCs/>
    </w:rPr>
  </w:style>
  <w:style w:type="table" w:styleId="TableProfessional">
    <w:name w:val="Table Professional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">
    <w:name w:val="Body Text"/>
    <w:basedOn w:val="Normal"/>
    <w:link w:val="Body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BodyTextFirstIndent">
    <w:name w:val="Body Text First Indent"/>
    <w:basedOn w:val="BodyText"/>
    <w:semiHidden/>
    <w:rsid w:val="00905790"/>
    <w:pPr>
      <w:ind w:firstLine="210"/>
    </w:pPr>
  </w:style>
  <w:style w:type="paragraph" w:styleId="BodyTextIndent">
    <w:name w:val="Body Text Indent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BodyTextFirstIndent2">
    <w:name w:val="Body Text First Indent 2"/>
    <w:basedOn w:val="BodyTextIndent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HTMLAcronym">
    <w:name w:val="HTML Acronym"/>
    <w:basedOn w:val="DefaultParagraphFont"/>
    <w:semiHidden/>
    <w:rsid w:val="00905790"/>
  </w:style>
  <w:style w:type="paragraph" w:styleId="EnvelopeReturn">
    <w:name w:val="envelope return"/>
    <w:basedOn w:val="Normal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TableColumns1">
    <w:name w:val="Table Columns 1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Sample">
    <w:name w:val="HTML Sample"/>
    <w:semiHidden/>
    <w:rsid w:val="00905790"/>
    <w:rPr>
      <w:rFonts w:ascii="Courier New" w:hAnsi="Courier New" w:cs="Courier New"/>
    </w:rPr>
  </w:style>
  <w:style w:type="table" w:styleId="TableWeb1">
    <w:name w:val="Table Web 1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BodyText3">
    <w:name w:val="Body Text 3"/>
    <w:basedOn w:val="Normal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BodyTextIndent2">
    <w:name w:val="Body Text Indent 2"/>
    <w:basedOn w:val="Normal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BodyTextIndent3">
    <w:name w:val="Body Text Indent 3"/>
    <w:basedOn w:val="Normal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Closing">
    <w:name w:val="Closing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List">
    <w:name w:val="List"/>
    <w:basedOn w:val="Normal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List2">
    <w:name w:val="List 2"/>
    <w:basedOn w:val="Normal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List3">
    <w:name w:val="List 3"/>
    <w:basedOn w:val="Normal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List4">
    <w:name w:val="List 4"/>
    <w:basedOn w:val="Normal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List5">
    <w:name w:val="List 5"/>
    <w:basedOn w:val="Normal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ListBullet">
    <w:name w:val="List Bullet"/>
    <w:basedOn w:val="Normal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ListBullet2">
    <w:name w:val="List Bullet 2"/>
    <w:basedOn w:val="Normal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ListBullet3">
    <w:name w:val="List Bullet 3"/>
    <w:basedOn w:val="Normal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ListBullet4">
    <w:name w:val="List Bullet 4"/>
    <w:basedOn w:val="Normal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ListBullet5">
    <w:name w:val="List Bullet 5"/>
    <w:basedOn w:val="Normal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Emphasis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al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BodyTextChar">
    <w:name w:val="Body Text Char"/>
    <w:link w:val="Body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">
    <w:name w:val="normálny"/>
    <w:basedOn w:val="Normal"/>
    <w:rsid w:val="002C2445"/>
    <w:pPr>
      <w:spacing w:before="80"/>
    </w:pPr>
    <w:rPr>
      <w:lang w:eastAsia="sk-SK"/>
    </w:rPr>
  </w:style>
  <w:style w:type="paragraph" w:styleId="BalloonText">
    <w:name w:val="Balloon Text"/>
    <w:basedOn w:val="Normal"/>
    <w:link w:val="BalloonTextChar"/>
    <w:rsid w:val="006E23F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al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ListParagraph">
    <w:name w:val="List Paragraph"/>
    <w:aliases w:val="text"/>
    <w:basedOn w:val="Normal"/>
    <w:link w:val="ListParagraph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B82"/>
  </w:style>
  <w:style w:type="paragraph" w:customStyle="1" w:styleId="odrka">
    <w:name w:val="odrážka"/>
    <w:basedOn w:val="Normal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DocumentMap">
    <w:name w:val="Document Map"/>
    <w:basedOn w:val="Normal"/>
    <w:link w:val="DocumentMapChar"/>
    <w:rsid w:val="00A27E2E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A27E2E"/>
    <w:rPr>
      <w:rFonts w:ascii="Tahoma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rsid w:val="005B3997"/>
    <w:rPr>
      <w:rFonts w:cs="Times New Roman"/>
      <w:sz w:val="16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eQuoteChar">
    <w:name w:val="Intense Quote Char"/>
    <w:link w:val="IntenseQuote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DefaultParagraphFont"/>
    <w:rsid w:val="001A67AA"/>
  </w:style>
  <w:style w:type="paragraph" w:customStyle="1" w:styleId="Styl3">
    <w:name w:val="Styl3"/>
    <w:basedOn w:val="Normal"/>
    <w:next w:val="Normal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al"/>
    <w:next w:val="Normal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al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ListParagraphChar">
    <w:name w:val="List Paragraph Char"/>
    <w:aliases w:val="text Char"/>
    <w:link w:val="ListParagraph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leChar">
    <w:name w:val="Title Char"/>
    <w:link w:val="Title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al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al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al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Caption">
    <w:name w:val="caption"/>
    <w:basedOn w:val="Normal"/>
    <w:next w:val="Normal"/>
    <w:unhideWhenUsed/>
    <w:qFormat/>
    <w:rsid w:val="00325F76"/>
    <w:rPr>
      <w:bCs/>
      <w:i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TOC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al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Heading1Char">
    <w:name w:val="Heading 1 Char"/>
    <w:link w:val="Heading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TOCHeadingChar">
    <w:name w:val="TOC Heading Char"/>
    <w:link w:val="TOCHeading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al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Heading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al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al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FooterChar">
    <w:name w:val="Footer Char"/>
    <w:link w:val="Footer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al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al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al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al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DefaultParagraphFont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rsid w:val="004338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33806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3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al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DefaultParagraphFont"/>
    <w:rsid w:val="002F337D"/>
  </w:style>
  <w:style w:type="character" w:customStyle="1" w:styleId="tabchar">
    <w:name w:val="tabchar"/>
    <w:basedOn w:val="DefaultParagraphFont"/>
    <w:rsid w:val="002F337D"/>
  </w:style>
  <w:style w:type="character" w:customStyle="1" w:styleId="eop">
    <w:name w:val="eop"/>
    <w:basedOn w:val="DefaultParagraphFont"/>
    <w:rsid w:val="002F337D"/>
  </w:style>
  <w:style w:type="paragraph" w:styleId="Revision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33B6865D357D49BB28EF11379B4E0B" ma:contentTypeVersion="11" ma:contentTypeDescription="Umožňuje vytvoriť nový dokument." ma:contentTypeScope="" ma:versionID="57bfbde3a70f898ce14c13be2c76ba12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1aa2e25143f301d05ba37efeaa6cacc8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3F9CD3-6585-45B4-B241-EFEC7098E5C1}"/>
</file>

<file path=customXml/itemProps3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0B69ED-F402-4CDA-A0B1-36D75AB115FE}">
  <ds:schemaRefs>
    <ds:schemaRef ds:uri="http://schemas.microsoft.com/office/2006/metadata/properties"/>
    <ds:schemaRef ds:uri="http://schemas.microsoft.com/office/infopath/2007/PartnerControls"/>
    <ds:schemaRef ds:uri="84db6d72-0470-45a6-bc41-76ffb983be52"/>
    <ds:schemaRef ds:uri="c4734352-6091-4a77-b2b8-6327aa60c9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2769</Words>
  <Characters>15784</Characters>
  <Application>Microsoft Office Word</Application>
  <DocSecurity>4</DocSecurity>
  <Lines>131</Lines>
  <Paragraphs>37</Paragraphs>
  <ScaleCrop>false</ScaleCrop>
  <Company>DOPRAVOPROJEKT, a.s.</Company>
  <LinksUpToDate>false</LinksUpToDate>
  <CharactersWithSpaces>18516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Pavlák Peter, Ing.</cp:lastModifiedBy>
  <cp:revision>204</cp:revision>
  <cp:lastPrinted>2021-09-16T16:58:00Z</cp:lastPrinted>
  <dcterms:created xsi:type="dcterms:W3CDTF">2022-04-14T16:21:00Z</dcterms:created>
  <dcterms:modified xsi:type="dcterms:W3CDTF">2025-01-21T07:05:00Z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